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Plantilla de Política interna de uso de IA</w:t>
      </w:r>
    </w:p>
    <w:p>
      <w:pPr>
        <w:pStyle w:val="Nota"/>
      </w:pPr>
      <w:r>
        <w:rPr>
          <w:b/>
        </w:rPr>
        <w:t xml:space="preserve">Plantilla orientativa, no reemplaza asesoría legal.</w:t>
      </w:r>
      <w:r>
        <w:rPr/>
        <w:t xml:space="preserve"> Adáptela a su empresa y revísela con su abogado o con el responsable de protección de datos.</w:t>
      </w:r>
    </w:p>
    <w:p>
      <w:pPr>
        <w:pStyle w:val="Heading1"/>
      </w:pPr>
      <w:r>
        <w:rPr/>
        <w:t xml:space="preserve">Política de uso de herramientas de inteligencia artificial</w:t>
      </w:r>
    </w:p>
    <w:p>
      <w:pPr/>
      <w:r>
        <w:rPr>
          <w:b/>
        </w:rPr>
        <w:t xml:space="preserve">[Razón social] · NIT [____]</w:t>
      </w:r>
    </w:p>
    <w:p>
      <w:pPr/>
      <w:r>
        <w:rPr/>
        <w:t xml:space="preserve">Versión </w:t>
      </w:r>
      <w:r>
        <w:rPr>
          <w:highlight w:val="yellow"/>
        </w:rPr>
        <w:t xml:space="preserve">[1.0]</w:t>
      </w:r>
      <w:r>
        <w:rPr/>
        <w:t xml:space="preserve"> · Aprobada por </w:t>
      </w:r>
      <w:r>
        <w:rPr>
          <w:highlight w:val="yellow"/>
        </w:rPr>
        <w:t xml:space="preserve">[cargo]</w:t>
      </w:r>
      <w:r>
        <w:rPr/>
        <w:t xml:space="preserve"> el </w:t>
      </w:r>
      <w:r>
        <w:rPr>
          <w:highlight w:val="yellow"/>
        </w:rPr>
        <w:t xml:space="preserve">[fecha]</w:t>
      </w:r>
      <w:r>
        <w:rPr/>
        <w:t xml:space="preserve"> · Próxima revisión: </w:t>
      </w:r>
      <w:r>
        <w:rPr>
          <w:highlight w:val="yellow"/>
        </w:rPr>
        <w:t xml:space="preserve">[fecha]</w:t>
      </w:r>
    </w:p>
    <w:p>
      <w:pPr>
        <w:pStyle w:val="Heading2"/>
      </w:pPr>
      <w:r>
        <w:rPr/>
        <w:t xml:space="preserve">1. Objetivo</w:t>
      </w:r>
    </w:p>
    <w:p>
      <w:pPr/>
      <w:r>
        <w:rPr/>
        <w:t xml:space="preserve">Permitir que el equipo use herramientas de inteligencia artificial (IA) para trabajar mejor, protegiendo los datos personales, la información de la empresa y la calidad de lo que entregamos.</w:t>
      </w:r>
    </w:p>
    <w:p>
      <w:pPr>
        <w:pStyle w:val="Heading2"/>
      </w:pPr>
      <w:r>
        <w:rPr/>
        <w:t xml:space="preserve">2. Alcance</w:t>
      </w:r>
    </w:p>
    <w:p>
      <w:pPr/>
      <w:r>
        <w:rPr/>
        <w:t xml:space="preserve">Aplica a todas las personas que trabajan para </w:t>
      </w:r>
      <w:r>
        <w:rPr>
          <w:highlight w:val="yellow"/>
        </w:rPr>
        <w:t xml:space="preserve">[Razón social]</w:t>
      </w:r>
      <w:r>
        <w:rPr/>
        <w:t xml:space="preserve">: empleados, contratistas, practicantes y proveedores con acceso a información de la empresa. Cubre cualquier herramienta de IA, en computadores, celulares o navegadores, propios o de la empresa.</w:t>
      </w:r>
    </w:p>
    <w:p>
      <w:pPr>
        <w:pStyle w:val="Heading2"/>
      </w:pPr>
      <w:r>
        <w:rPr/>
        <w:t xml:space="preserve">3. Marco de referencia</w:t>
      </w:r>
    </w:p>
    <w:p>
      <w:pPr>
        <w:ind w:left="360" w:hanging="280"/>
      </w:pPr>
      <w:r>
        <w:rPr/>
        <w:t xml:space="preserve">•  </w:t>
      </w:r>
      <w:r>
        <w:rPr>
          <w:b/>
        </w:rPr>
        <w:t xml:space="preserve">Ley 1581 de 2012</w:t>
      </w:r>
      <w:r>
        <w:rPr/>
        <w:t xml:space="preserve"> (protección de datos personales) y su reglamentación (Decreto 1377 de 2013, compilado en el Decreto 1074 de 2015).</w:t>
      </w:r>
    </w:p>
    <w:p>
      <w:pPr>
        <w:ind w:left="360" w:hanging="280"/>
      </w:pPr>
      <w:r>
        <w:rPr/>
        <w:t xml:space="preserve">•  </w:t>
      </w:r>
      <w:r>
        <w:rPr>
          <w:b/>
        </w:rPr>
        <w:t xml:space="preserve">Circular Externa 002 del 21 de agosto de 2024 de la Superintendencia de Industria y Comercio (SIC):</w:t>
      </w:r>
      <w:r>
        <w:rPr/>
        <w:t xml:space="preserve"> lineamientos sobre el tratamiento de datos personales en sistemas de inteligencia artificial.</w:t>
      </w:r>
    </w:p>
    <w:p>
      <w:pPr>
        <w:ind w:left="360" w:hanging="280"/>
      </w:pPr>
      <w:r>
        <w:rPr/>
        <w:t xml:space="preserve">•  Política de tratamiento de datos personales de </w:t>
      </w:r>
      <w:r>
        <w:rPr>
          <w:highlight w:val="yellow"/>
        </w:rPr>
        <w:t xml:space="preserve">[Razón social]</w:t>
      </w:r>
      <w:r>
        <w:rPr/>
        <w:t xml:space="preserve">: </w:t>
      </w:r>
      <w:r>
        <w:rPr>
          <w:highlight w:val="yellow"/>
        </w:rPr>
        <w:t xml:space="preserve">[enlace]</w:t>
      </w:r>
      <w:r>
        <w:rPr/>
        <w:t xml:space="preserve">.</w:t>
      </w:r>
    </w:p>
    <w:p>
      <w:pPr>
        <w:pStyle w:val="Heading2"/>
      </w:pPr>
      <w:r>
        <w:rPr/>
        <w:t xml:space="preserve">4. Herramientas autorizadas</w:t>
      </w:r>
    </w:p>
    <w:tbl>
      <w:tblPr>
        <w:tblStyle w:val="Tabla"/>
        <w:tblW w:w="9000" w:type="dxa"/>
        <w:tblBorders>
          <w:top w:val="single" w:sz="4" w:color="B8BEDC"/>
          <w:left w:val="single" w:sz="4" w:color="B8BEDC"/>
          <w:bottom w:val="single" w:sz="4" w:color="B8BEDC"/>
          <w:right w:val="single" w:sz="4" w:color="B8BEDC"/>
          <w:insideH w:val="single" w:sz="4" w:color="B8BEDC"/>
          <w:insideV w:val="single" w:sz="4" w:color="B8BEDC"/>
        </w:tblBorders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fill="E8EBFF"/>
          </w:tcPr>
          <w:p>
            <w:pPr/>
            <w:r>
              <w:rPr>
                <w:b/>
              </w:rPr>
              <w:t xml:space="preserve">Herramienta</w:t>
            </w:r>
          </w:p>
        </w:tc>
        <w:tc>
          <w:tcPr>
            <w:tcW w:w="2250" w:type="dxa"/>
            <w:shd w:val="clear" w:fill="E8EBFF"/>
          </w:tcPr>
          <w:p>
            <w:pPr/>
            <w:r>
              <w:rPr>
                <w:b/>
              </w:rPr>
              <w:t xml:space="preserve">Tipo de cuenta</w:t>
            </w:r>
          </w:p>
        </w:tc>
        <w:tc>
          <w:tcPr>
            <w:tcW w:w="2250" w:type="dxa"/>
            <w:shd w:val="clear" w:fill="E8EBFF"/>
          </w:tcPr>
          <w:p>
            <w:pPr/>
            <w:r>
              <w:rPr>
                <w:b/>
              </w:rPr>
              <w:t xml:space="preserve">Usos permitidos</w:t>
            </w:r>
          </w:p>
        </w:tc>
        <w:tc>
          <w:tcPr>
            <w:tcW w:w="2250" w:type="dxa"/>
            <w:shd w:val="clear" w:fill="E8EBFF"/>
          </w:tcPr>
          <w:p>
            <w:pPr/>
            <w:r>
              <w:rPr>
                <w:b/>
              </w:rPr>
              <w:t xml:space="preserve">Responsable</w:t>
            </w:r>
          </w:p>
        </w:tc>
      </w:tr>
      <w:tr>
        <w:tc>
          <w:tcPr>
            <w:tcW w:w="2250" w:type="dxa"/>
          </w:tcPr>
          <w:p>
            <w:pPr/>
            <w:r>
              <w:rPr>
                <w:highlight w:val="yellow"/>
              </w:rPr>
              <w:t xml:space="preserve">[ej.: Copilot de Microsoft 365]</w:t>
            </w:r>
          </w:p>
        </w:tc>
        <w:tc>
          <w:tcPr>
            <w:tcW w:w="2250" w:type="dxa"/>
          </w:tcPr>
          <w:p>
            <w:pPr/>
            <w:r>
              <w:rPr/>
              <w:t xml:space="preserve">Empresarial</w:t>
            </w:r>
          </w:p>
        </w:tc>
        <w:tc>
          <w:tcPr>
            <w:tcW w:w="2250" w:type="dxa"/>
          </w:tcPr>
          <w:p>
            <w:pPr/>
            <w:r>
              <w:rPr>
                <w:highlight w:val="yellow"/>
              </w:rPr>
              <w:t xml:space="preserve">[____]</w:t>
            </w:r>
          </w:p>
        </w:tc>
        <w:tc>
          <w:tcPr>
            <w:tcW w:w="2250" w:type="dxa"/>
          </w:tcPr>
          <w:p>
            <w:pPr/>
            <w:r>
              <w:rPr>
                <w:highlight w:val="yellow"/>
              </w:rPr>
              <w:t xml:space="preserve">[____]</w:t>
            </w:r>
          </w:p>
        </w:tc>
      </w:tr>
      <w:tr>
        <w:tc>
          <w:tcPr>
            <w:tcW w:w="2250" w:type="dxa"/>
          </w:tcPr>
          <w:p>
            <w:pPr/>
            <w:r>
              <w:rPr>
                <w:highlight w:val="yellow"/>
              </w:rPr>
              <w:t xml:space="preserve">[ej.: Gemini en Google Workspace]</w:t>
            </w:r>
          </w:p>
        </w:tc>
        <w:tc>
          <w:tcPr>
            <w:tcW w:w="2250" w:type="dxa"/>
          </w:tcPr>
          <w:p>
            <w:pPr/>
            <w:r>
              <w:rPr/>
              <w:t xml:space="preserve">Empresarial</w:t>
            </w:r>
          </w:p>
        </w:tc>
        <w:tc>
          <w:tcPr>
            <w:tcW w:w="2250" w:type="dxa"/>
          </w:tcPr>
          <w:p>
            <w:pPr/>
            <w:r>
              <w:rPr>
                <w:highlight w:val="yellow"/>
              </w:rPr>
              <w:t xml:space="preserve">[____]</w:t>
            </w:r>
          </w:p>
        </w:tc>
        <w:tc>
          <w:tcPr>
            <w:tcW w:w="2250" w:type="dxa"/>
          </w:tcPr>
          <w:p>
            <w:pPr/>
            <w:r>
              <w:rPr>
                <w:highlight w:val="yellow"/>
              </w:rPr>
              <w:t xml:space="preserve">[____]</w:t>
            </w:r>
          </w:p>
        </w:tc>
      </w:tr>
      <w:tr>
        <w:tc>
          <w:tcPr>
            <w:tcW w:w="2250" w:type="dxa"/>
          </w:tcPr>
          <w:p>
            <w:pPr/>
            <w:r>
              <w:rPr>
                <w:highlight w:val="yellow"/>
              </w:rPr>
              <w:t xml:space="preserve">[____]</w:t>
            </w:r>
          </w:p>
        </w:tc>
        <w:tc>
          <w:tcPr>
            <w:tcW w:w="2250" w:type="dxa"/>
          </w:tcPr>
          <w:p>
            <w:pPr/>
            <w:r>
              <w:rPr>
                <w:highlight w:val="yellow"/>
              </w:rPr>
              <w:t xml:space="preserve">[____]</w:t>
            </w:r>
          </w:p>
        </w:tc>
        <w:tc>
          <w:tcPr>
            <w:tcW w:w="2250" w:type="dxa"/>
          </w:tcPr>
          <w:p>
            <w:pPr/>
            <w:r>
              <w:rPr>
                <w:highlight w:val="yellow"/>
              </w:rPr>
              <w:t xml:space="preserve">[____]</w:t>
            </w:r>
          </w:p>
        </w:tc>
        <w:tc>
          <w:tcPr>
            <w:tcW w:w="2250" w:type="dxa"/>
          </w:tcPr>
          <w:p>
            <w:pPr/>
            <w:r>
              <w:rPr>
                <w:highlight w:val="yellow"/>
              </w:rPr>
              <w:t xml:space="preserve">[____]</w:t>
            </w:r>
          </w:p>
        </w:tc>
      </w:tr>
    </w:tbl>
    <w:p>
      <w:pPr/>
    </w:p>
    <w:p>
      <w:pPr>
        <w:ind w:left="360" w:hanging="280"/>
      </w:pPr>
      <w:r>
        <w:rPr/>
        <w:t xml:space="preserve">•  Solo se usan las herramientas de esta lista.</w:t>
      </w:r>
    </w:p>
    <w:p>
      <w:pPr>
        <w:ind w:left="360" w:hanging="280"/>
      </w:pPr>
      <w:r>
        <w:rPr/>
        <w:t xml:space="preserve">•  Se prefieren </w:t>
      </w:r>
      <w:r>
        <w:rPr>
          <w:b/>
        </w:rPr>
        <w:t xml:space="preserve">licencias empresariales que no usan sus datos para entrenar modelos</w:t>
      </w:r>
      <w:r>
        <w:rPr/>
        <w:t xml:space="preserve">. Verifique esa condición en el contrato o en la configuración de cada herramienta.</w:t>
      </w:r>
    </w:p>
    <w:p>
      <w:pPr>
        <w:ind w:left="360" w:hanging="280"/>
      </w:pPr>
      <w:r>
        <w:rPr/>
        <w:t xml:space="preserve">•  Para agregar una herramienta, se solicita a </w:t>
      </w:r>
      <w:r>
        <w:rPr>
          <w:highlight w:val="yellow"/>
        </w:rPr>
        <w:t xml:space="preserve">[responsable]</w:t>
      </w:r>
      <w:r>
        <w:rPr/>
        <w:t xml:space="preserve"> por </w:t>
      </w:r>
      <w:r>
        <w:rPr>
          <w:highlight w:val="yellow"/>
        </w:rPr>
        <w:t xml:space="preserve">[canal]</w:t>
      </w:r>
      <w:r>
        <w:rPr/>
        <w:t xml:space="preserve">.</w:t>
      </w:r>
    </w:p>
    <w:p>
      <w:pPr>
        <w:pStyle w:val="Heading2"/>
      </w:pPr>
      <w:r>
        <w:rPr/>
        <w:t xml:space="preserve">5. Clasificación de la información</w:t>
      </w:r>
    </w:p>
    <w:tbl>
      <w:tblPr>
        <w:tblStyle w:val="Tabla"/>
        <w:tblW w:w="9000" w:type="dxa"/>
        <w:tblBorders>
          <w:top w:val="single" w:sz="4" w:color="B8BEDC"/>
          <w:left w:val="single" w:sz="4" w:color="B8BEDC"/>
          <w:bottom w:val="single" w:sz="4" w:color="B8BEDC"/>
          <w:right w:val="single" w:sz="4" w:color="B8BEDC"/>
          <w:insideH w:val="single" w:sz="4" w:color="B8BEDC"/>
          <w:insideV w:val="single" w:sz="4" w:color="B8BEDC"/>
        </w:tblBorders>
      </w:tblPr>
      <w:tblGrid>
        <w:gridCol w:w="3000"/>
        <w:gridCol w:w="3000"/>
        <w:gridCol w:w="3000"/>
      </w:tblGrid>
      <w:tr>
        <w:tc>
          <w:tcPr>
            <w:tcW w:w="3000" w:type="dxa"/>
            <w:shd w:val="clear" w:fill="E8EBFF"/>
          </w:tcPr>
          <w:p>
            <w:pPr/>
            <w:r>
              <w:rPr>
                <w:b/>
              </w:rPr>
              <w:t xml:space="preserve">Nivel</w:t>
            </w:r>
          </w:p>
        </w:tc>
        <w:tc>
          <w:tcPr>
            <w:tcW w:w="3000" w:type="dxa"/>
            <w:shd w:val="clear" w:fill="E8EBFF"/>
          </w:tcPr>
          <w:p>
            <w:pPr/>
            <w:r>
              <w:rPr>
                <w:b/>
              </w:rPr>
              <w:t xml:space="preserve">Ejemplos</w:t>
            </w:r>
          </w:p>
        </w:tc>
        <w:tc>
          <w:tcPr>
            <w:tcW w:w="3000" w:type="dxa"/>
            <w:shd w:val="clear" w:fill="E8EBFF"/>
          </w:tcPr>
          <w:p>
            <w:pPr/>
            <w:r>
              <w:rPr>
                <w:b/>
              </w:rPr>
              <w:t xml:space="preserve">¿Se puede usar con IA?</w:t>
            </w:r>
          </w:p>
        </w:tc>
      </w:tr>
      <w:tr>
        <w:tc>
          <w:tcPr>
            <w:tcW w:w="3000" w:type="dxa"/>
          </w:tcPr>
          <w:p>
            <w:pPr/>
            <w:r>
              <w:rPr/>
              <w:t xml:space="preserve">Pública</w:t>
            </w:r>
          </w:p>
        </w:tc>
        <w:tc>
          <w:tcPr>
            <w:tcW w:w="3000" w:type="dxa"/>
          </w:tcPr>
          <w:p>
            <w:pPr/>
            <w:r>
              <w:rPr/>
              <w:t xml:space="preserve">Contenido de la página web, catálogos publicados, normas</w:t>
            </w:r>
          </w:p>
        </w:tc>
        <w:tc>
          <w:tcPr>
            <w:tcW w:w="3000" w:type="dxa"/>
          </w:tcPr>
          <w:p>
            <w:pPr/>
            <w:r>
              <w:rPr/>
              <w:t xml:space="preserve">Sí, en herramientas autorizadas</w:t>
            </w:r>
          </w:p>
        </w:tc>
      </w:tr>
      <w:tr>
        <w:tc>
          <w:tcPr>
            <w:tcW w:w="3000" w:type="dxa"/>
          </w:tcPr>
          <w:p>
            <w:pPr/>
            <w:r>
              <w:rPr/>
              <w:t xml:space="preserve">Interna</w:t>
            </w:r>
          </w:p>
        </w:tc>
        <w:tc>
          <w:tcPr>
            <w:tcW w:w="3000" w:type="dxa"/>
          </w:tcPr>
          <w:p>
            <w:pPr/>
            <w:r>
              <w:rPr/>
              <w:t xml:space="preserve">Procedimientos, plantillas, actas sin datos personales</w:t>
            </w:r>
          </w:p>
        </w:tc>
        <w:tc>
          <w:tcPr>
            <w:tcW w:w="3000" w:type="dxa"/>
          </w:tcPr>
          <w:p>
            <w:pPr/>
            <w:r>
              <w:rPr/>
              <w:t xml:space="preserve">Sí, solo en herramientas con licencia empresarial</w:t>
            </w:r>
          </w:p>
        </w:tc>
      </w:tr>
      <w:tr>
        <w:tc>
          <w:tcPr>
            <w:tcW w:w="3000" w:type="dxa"/>
          </w:tcPr>
          <w:p>
            <w:pPr/>
            <w:r>
              <w:rPr/>
              <w:t xml:space="preserve">Confidencial</w:t>
            </w:r>
          </w:p>
        </w:tc>
        <w:tc>
          <w:tcPr>
            <w:tcW w:w="3000" w:type="dxa"/>
          </w:tcPr>
          <w:p>
            <w:pPr/>
            <w:r>
              <w:rPr/>
              <w:t xml:space="preserve">Estados financieros no publicados, contratos, precios, estrategia, código fuente</w:t>
            </w:r>
          </w:p>
        </w:tc>
        <w:tc>
          <w:tcPr>
            <w:tcW w:w="3000" w:type="dxa"/>
          </w:tcPr>
          <w:p>
            <w:pPr/>
            <w:r>
              <w:rPr/>
              <w:t xml:space="preserve">Solo con aprobación de </w:t>
            </w:r>
            <w:r>
              <w:rPr>
                <w:highlight w:val="yellow"/>
              </w:rPr>
              <w:t xml:space="preserve">[responsable]</w:t>
            </w:r>
            <w:r>
              <w:rPr/>
              <w:t xml:space="preserve"> y en herramientas con licencia empresarial</w:t>
            </w:r>
          </w:p>
        </w:tc>
      </w:tr>
      <w:tr>
        <w:tc>
          <w:tcPr>
            <w:tcW w:w="3000" w:type="dxa"/>
          </w:tcPr>
          <w:p>
            <w:pPr/>
            <w:r>
              <w:rPr/>
              <w:t xml:space="preserve">Datos personales</w:t>
            </w:r>
          </w:p>
        </w:tc>
        <w:tc>
          <w:tcPr>
            <w:tcW w:w="3000" w:type="dxa"/>
          </w:tcPr>
          <w:p>
            <w:pPr/>
            <w:r>
              <w:rPr/>
              <w:t xml:space="preserve">Nombres con cédula, teléfonos, correos, salarios, datos de nómina, historias clínicas, datos de menores</w:t>
            </w:r>
          </w:p>
        </w:tc>
        <w:tc>
          <w:tcPr>
            <w:tcW w:w="3000" w:type="dxa"/>
          </w:tcPr>
          <w:p>
            <w:pPr/>
            <w:r>
              <w:rPr/>
              <w:t xml:space="preserve">No, salvo despersonalizados (ver sección 7)</w:t>
            </w:r>
          </w:p>
        </w:tc>
      </w:tr>
    </w:tbl>
    <w:p>
      <w:pPr/>
    </w:p>
    <w:p>
      <w:pPr>
        <w:pStyle w:val="Heading2"/>
      </w:pPr>
      <w:r>
        <w:rPr/>
        <w:t xml:space="preserve">6. Lo que nunca se sube a una herramienta de IA</w:t>
      </w:r>
    </w:p>
    <w:p>
      <w:pPr>
        <w:ind w:left="360" w:hanging="280"/>
      </w:pPr>
      <w:r>
        <w:rPr/>
        <w:t xml:space="preserve">•  Cédulas, NIT de personas naturales, direcciones o teléfonos asociados a un nombre.</w:t>
      </w:r>
    </w:p>
    <w:p>
      <w:pPr>
        <w:ind w:left="360" w:hanging="280"/>
      </w:pPr>
      <w:r>
        <w:rPr/>
        <w:t xml:space="preserve">•  Números de cuentas bancarias, tarjetas, claves o tokens de acceso.</w:t>
      </w:r>
    </w:p>
    <w:p>
      <w:pPr>
        <w:ind w:left="360" w:hanging="280"/>
      </w:pPr>
      <w:r>
        <w:rPr/>
        <w:t xml:space="preserve">•  Extractos bancarios, facturas electrónicas o nóminas </w:t>
      </w:r>
      <w:r>
        <w:rPr>
          <w:b/>
        </w:rPr>
        <w:t xml:space="preserve">sin despersonalizar</w:t>
      </w:r>
      <w:r>
        <w:rPr/>
        <w:t xml:space="preserve">.</w:t>
      </w:r>
    </w:p>
    <w:p>
      <w:pPr>
        <w:ind w:left="360" w:hanging="280"/>
      </w:pPr>
      <w:r>
        <w:rPr/>
        <w:t xml:space="preserve">•  Datos sensibles: salud, origen racial o étnico, orientación política, convicciones religiosas o filosóficas, pertenencia a sindicatos u organizaciones sociales o de derechos humanos, vida sexual, datos biométricos (Ley 1581, art. 5).</w:t>
      </w:r>
    </w:p>
    <w:p>
      <w:pPr>
        <w:ind w:left="360" w:hanging="280"/>
      </w:pPr>
      <w:r>
        <w:rPr/>
        <w:t xml:space="preserve">•  Datos de niños, niñas y adolescentes.</w:t>
      </w:r>
    </w:p>
    <w:p>
      <w:pPr>
        <w:ind w:left="360" w:hanging="280"/>
      </w:pPr>
      <w:r>
        <w:rPr/>
        <w:t xml:space="preserve">•  Información que un cliente o proveedor nos entregó bajo acuerdo de confidencialidad (NDA).</w:t>
      </w:r>
    </w:p>
    <w:p>
      <w:pPr>
        <w:ind w:left="360" w:hanging="280"/>
      </w:pPr>
      <w:r>
        <w:rPr/>
        <w:t xml:space="preserve">•  Contraseñas o credenciales de cualquier sistema.</w:t>
      </w:r>
    </w:p>
    <w:p>
      <w:pPr>
        <w:pStyle w:val="Heading2"/>
      </w:pPr>
      <w:r>
        <w:rPr/>
        <w:t xml:space="preserve">7. Cómo despersonalizar antes de usar IA</w:t>
      </w:r>
    </w:p>
    <w:p>
      <w:pPr>
        <w:ind w:left="360" w:hanging="280"/>
      </w:pPr>
      <w:r>
        <w:rPr/>
        <w:t xml:space="preserve">1. Reemplace nombres por códigos: "Proveedor A", "Empleado 014".</w:t>
      </w:r>
    </w:p>
    <w:p>
      <w:pPr>
        <w:ind w:left="360" w:hanging="280"/>
      </w:pPr>
      <w:r>
        <w:rPr/>
        <w:t xml:space="preserve">2. Borre o enmascare cédulas, NIT, cuentas y teléfonos (ej.: 1.234.XXX.XXX).</w:t>
      </w:r>
    </w:p>
    <w:p>
      <w:pPr>
        <w:ind w:left="360" w:hanging="280"/>
      </w:pPr>
      <w:r>
        <w:rPr/>
        <w:t xml:space="preserve">3. Use rangos en vez de cifras exactas cuando la cifra identifique a alguien (salarios).</w:t>
      </w:r>
    </w:p>
    <w:p>
      <w:pPr>
        <w:ind w:left="360" w:hanging="280"/>
      </w:pPr>
      <w:r>
        <w:rPr/>
        <w:t xml:space="preserve">4. Quite columnas que no necesita para la tarea.</w:t>
      </w:r>
    </w:p>
    <w:p>
      <w:pPr>
        <w:ind w:left="360" w:hanging="280"/>
      </w:pPr>
      <w:r>
        <w:rPr/>
        <w:t xml:space="preserve">5. Si duda de que se pueda reidentificar a alguien, no lo suba y consulte a </w:t>
      </w:r>
      <w:r>
        <w:rPr>
          <w:highlight w:val="yellow"/>
        </w:rPr>
        <w:t xml:space="preserve">[responsable]</w:t>
      </w:r>
      <w:r>
        <w:rPr/>
        <w:t xml:space="preserve">.</w:t>
      </w:r>
    </w:p>
    <w:p>
      <w:pPr>
        <w:pStyle w:val="Heading2"/>
      </w:pPr>
      <w:r>
        <w:rPr/>
        <w:t xml:space="preserve">8. Validación humana ("humano en el bucle")</w:t>
      </w:r>
    </w:p>
    <w:p>
      <w:pPr>
        <w:ind w:left="360" w:hanging="280"/>
      </w:pPr>
      <w:r>
        <w:rPr/>
        <w:t xml:space="preserve">•  La IA es un apoyo, no la autora final. Toda salida se revisa antes de enviarla, publicarla o usarla en una decisión.</w:t>
      </w:r>
    </w:p>
    <w:p>
      <w:pPr>
        <w:ind w:left="360" w:hanging="280"/>
      </w:pPr>
      <w:r>
        <w:rPr/>
        <w:t xml:space="preserve">•  Quien usa la IA responde por el resultado: verifica cifras, normas citadas, nombres y cálculos contra la fuente original.</w:t>
      </w:r>
    </w:p>
    <w:p>
      <w:pPr>
        <w:ind w:left="360" w:hanging="280"/>
      </w:pPr>
      <w:r>
        <w:rPr/>
        <w:t xml:space="preserve">•  No se toman decisiones sobre personas (contratación, evaluación, crédito, sanciones) solo con base en un resultado de IA.</w:t>
      </w:r>
    </w:p>
    <w:p>
      <w:pPr>
        <w:pStyle w:val="Heading2"/>
      </w:pPr>
      <w:r>
        <w:rPr/>
        <w:t xml:space="preserve">9. Propiedad intelectual y transparencia</w:t>
      </w:r>
    </w:p>
    <w:p>
      <w:pPr>
        <w:ind w:left="360" w:hanging="280"/>
      </w:pPr>
      <w:r>
        <w:rPr/>
        <w:t xml:space="preserve">•  No suba a la IA obras, bases de datos o materiales de terceros si no tiene derecho a usarlos.</w:t>
      </w:r>
    </w:p>
    <w:p>
      <w:pPr>
        <w:ind w:left="360" w:hanging="280"/>
      </w:pPr>
      <w:r>
        <w:rPr/>
        <w:t xml:space="preserve">•  Revise que los textos, imágenes o código generados no copien contenido protegido antes de publicarlos.</w:t>
      </w:r>
    </w:p>
    <w:p>
      <w:pPr>
        <w:ind w:left="360" w:hanging="280"/>
      </w:pPr>
      <w:r>
        <w:rPr/>
        <w:t xml:space="preserve">•  Cuando un entregable a un cliente se haya hecho con apoyo importante de IA, </w:t>
      </w:r>
      <w:r>
        <w:rPr>
          <w:highlight w:val="yellow"/>
        </w:rPr>
        <w:t xml:space="preserve">[indíquelo / consúltelo con el líder del área]</w:t>
      </w:r>
      <w:r>
        <w:rPr/>
        <w:t xml:space="preserve">.</w:t>
      </w:r>
    </w:p>
    <w:p>
      <w:pPr>
        <w:ind w:left="360" w:hanging="280"/>
      </w:pPr>
      <w:r>
        <w:rPr/>
        <w:t xml:space="preserve">•  Los resultados creados para la empresa con herramientas autorizadas se tratan como información de la empresa.</w:t>
      </w:r>
    </w:p>
    <w:p>
      <w:pPr>
        <w:pStyle w:val="Heading2"/>
      </w:pPr>
      <w:r>
        <w:rPr/>
        <w:t xml:space="preserve">10. Registro de usos</w:t>
      </w:r>
    </w:p>
    <w:p>
      <w:pPr/>
      <w:r>
        <w:rPr/>
        <w:t xml:space="preserve">Cada área lleva un registro simple de los usos recurrentes de IA:</w:t>
      </w:r>
    </w:p>
    <w:tbl>
      <w:tblPr>
        <w:tblStyle w:val="Tabla"/>
        <w:tblW w:w="9000" w:type="dxa"/>
        <w:tblBorders>
          <w:top w:val="single" w:sz="4" w:color="B8BEDC"/>
          <w:left w:val="single" w:sz="4" w:color="B8BEDC"/>
          <w:bottom w:val="single" w:sz="4" w:color="B8BEDC"/>
          <w:right w:val="single" w:sz="4" w:color="B8BEDC"/>
          <w:insideH w:val="single" w:sz="4" w:color="B8BEDC"/>
          <w:insideV w:val="single" w:sz="4" w:color="B8BEDC"/>
        </w:tblBorders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>
        <w:tc>
          <w:tcPr>
            <w:tcW w:w="1285" w:type="dxa"/>
            <w:shd w:val="clear" w:fill="E8EBFF"/>
          </w:tcPr>
          <w:p>
            <w:pPr/>
            <w:r>
              <w:rPr>
                <w:b/>
              </w:rPr>
              <w:t xml:space="preserve">Fecha</w:t>
            </w:r>
          </w:p>
        </w:tc>
        <w:tc>
          <w:tcPr>
            <w:tcW w:w="1285" w:type="dxa"/>
            <w:shd w:val="clear" w:fill="E8EBFF"/>
          </w:tcPr>
          <w:p>
            <w:pPr/>
            <w:r>
              <w:rPr>
                <w:b/>
              </w:rPr>
              <w:t xml:space="preserve">Área</w:t>
            </w:r>
          </w:p>
        </w:tc>
        <w:tc>
          <w:tcPr>
            <w:tcW w:w="1285" w:type="dxa"/>
            <w:shd w:val="clear" w:fill="E8EBFF"/>
          </w:tcPr>
          <w:p>
            <w:pPr/>
            <w:r>
              <w:rPr>
                <w:b/>
              </w:rPr>
              <w:t xml:space="preserve">Herramienta</w:t>
            </w:r>
          </w:p>
        </w:tc>
        <w:tc>
          <w:tcPr>
            <w:tcW w:w="1285" w:type="dxa"/>
            <w:shd w:val="clear" w:fill="E8EBFF"/>
          </w:tcPr>
          <w:p>
            <w:pPr/>
            <w:r>
              <w:rPr>
                <w:b/>
              </w:rPr>
              <w:t xml:space="preserve">Tarea</w:t>
            </w:r>
          </w:p>
        </w:tc>
        <w:tc>
          <w:tcPr>
            <w:tcW w:w="1285" w:type="dxa"/>
            <w:shd w:val="clear" w:fill="E8EBFF"/>
          </w:tcPr>
          <w:p>
            <w:pPr/>
            <w:r>
              <w:rPr>
                <w:b/>
              </w:rPr>
              <w:t xml:space="preserve">Tipo de información</w:t>
            </w:r>
          </w:p>
        </w:tc>
        <w:tc>
          <w:tcPr>
            <w:tcW w:w="1285" w:type="dxa"/>
            <w:shd w:val="clear" w:fill="E8EBFF"/>
          </w:tcPr>
          <w:p>
            <w:pPr/>
            <w:r>
              <w:rPr>
                <w:b/>
              </w:rPr>
              <w:t xml:space="preserve">¿Despersonalizada?</w:t>
            </w:r>
          </w:p>
        </w:tc>
        <w:tc>
          <w:tcPr>
            <w:tcW w:w="1285" w:type="dxa"/>
            <w:shd w:val="clear" w:fill="E8EBFF"/>
          </w:tcPr>
          <w:p>
            <w:pPr/>
            <w:r>
              <w:rPr>
                <w:b/>
              </w:rPr>
              <w:t xml:space="preserve">Revisó</w:t>
            </w:r>
          </w:p>
        </w:tc>
      </w:tr>
      <w:tr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</w:tr>
      <w:tr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  <w:tc>
          <w:tcPr>
            <w:tcW w:w="1285" w:type="dxa"/>
          </w:tcPr>
          <w:p>
            <w:pPr/>
          </w:p>
        </w:tc>
      </w:tr>
    </w:tbl>
    <w:p>
      <w:pPr/>
    </w:p>
    <w:p>
      <w:pPr/>
      <w:r>
        <w:rPr/>
        <w:t xml:space="preserve">Los usos nuevos que involucren datos personales se consultan antes con </w:t>
      </w:r>
      <w:r>
        <w:rPr>
          <w:highlight w:val="yellow"/>
        </w:rPr>
        <w:t xml:space="preserve">[responsable de datos]</w:t>
      </w:r>
      <w:r>
        <w:rPr/>
        <w:t xml:space="preserve">. Si hay riesgo alto, se documenta un estudio de impacto de privacidad antes de empezar, como recomienda la Circular 002 de 2024 de la SIC.</w:t>
      </w:r>
    </w:p>
    <w:p>
      <w:pPr>
        <w:pStyle w:val="Heading2"/>
      </w:pPr>
      <w:r>
        <w:rPr/>
        <w:t xml:space="preserve">11. Responsables</w:t>
      </w:r>
    </w:p>
    <w:p>
      <w:pPr>
        <w:ind w:left="360" w:hanging="280"/>
      </w:pPr>
      <w:r>
        <w:rPr/>
        <w:t xml:space="preserve">•  </w:t>
      </w:r>
      <w:r>
        <w:rPr>
          <w:b/>
        </w:rPr>
        <w:t xml:space="preserve">Dueño de la política:</w:t>
      </w:r>
      <w:r>
        <w:rPr/>
        <w:t xml:space="preserve"> </w:t>
      </w:r>
      <w:r>
        <w:rPr>
          <w:highlight w:val="yellow"/>
        </w:rPr>
        <w:t xml:space="preserve">[cargo]</w:t>
      </w:r>
      <w:r>
        <w:rPr/>
        <w:t xml:space="preserve">.</w:t>
      </w:r>
    </w:p>
    <w:p>
      <w:pPr>
        <w:ind w:left="360" w:hanging="280"/>
      </w:pPr>
      <w:r>
        <w:rPr/>
        <w:t xml:space="preserve">•  </w:t>
      </w:r>
      <w:r>
        <w:rPr>
          <w:b/>
        </w:rPr>
        <w:t xml:space="preserve">Líder interno de gobernanza de datos por área:</w:t>
      </w:r>
      <w:r>
        <w:rPr/>
        <w:t xml:space="preserve"> </w:t>
      </w:r>
      <w:r>
        <w:rPr>
          <w:highlight w:val="yellow"/>
        </w:rPr>
        <w:t xml:space="preserve">[nombres o cargos]</w:t>
      </w:r>
      <w:r>
        <w:rPr/>
        <w:t xml:space="preserve">. Resuelve dudas y lleva el registro.</w:t>
      </w:r>
    </w:p>
    <w:p>
      <w:pPr>
        <w:ind w:left="360" w:hanging="280"/>
      </w:pPr>
      <w:r>
        <w:rPr/>
        <w:t xml:space="preserve">•  </w:t>
      </w:r>
      <w:r>
        <w:rPr>
          <w:b/>
        </w:rPr>
        <w:t xml:space="preserve">Oficial o responsable de protección de datos:</w:t>
      </w:r>
      <w:r>
        <w:rPr/>
        <w:t xml:space="preserve"> </w:t>
      </w:r>
      <w:r>
        <w:rPr>
          <w:highlight w:val="yellow"/>
        </w:rPr>
        <w:t xml:space="preserve">[cargo]</w:t>
      </w:r>
      <w:r>
        <w:rPr/>
        <w:t xml:space="preserve">. Aprueba usos con datos personales.</w:t>
      </w:r>
    </w:p>
    <w:p>
      <w:pPr>
        <w:ind w:left="360" w:hanging="280"/>
      </w:pPr>
      <w:r>
        <w:rPr/>
        <w:t xml:space="preserve">•  </w:t>
      </w:r>
      <w:r>
        <w:rPr>
          <w:b/>
        </w:rPr>
        <w:t xml:space="preserve">Todos:</w:t>
      </w:r>
      <w:r>
        <w:rPr/>
        <w:t xml:space="preserve"> cumplen la política y reportan incidentes.</w:t>
      </w:r>
    </w:p>
    <w:p>
      <w:pPr>
        <w:pStyle w:val="Heading2"/>
      </w:pPr>
      <w:r>
        <w:rPr/>
        <w:t xml:space="preserve">12. Incidentes</w:t>
      </w:r>
    </w:p>
    <w:p>
      <w:pPr/>
      <w:r>
        <w:rPr/>
        <w:t xml:space="preserve">Si sube por error información confidencial o datos personales a una herramienta no autorizada:</w:t>
      </w:r>
    </w:p>
    <w:p>
      <w:pPr>
        <w:ind w:left="360" w:hanging="280"/>
      </w:pPr>
      <w:r>
        <w:rPr/>
        <w:t xml:space="preserve">1. Deje de usarla y borre la conversación si la herramienta lo permite.</w:t>
      </w:r>
    </w:p>
    <w:p>
      <w:pPr>
        <w:ind w:left="360" w:hanging="280"/>
      </w:pPr>
      <w:r>
        <w:rPr/>
        <w:t xml:space="preserve">2. Avise a </w:t>
      </w:r>
      <w:r>
        <w:rPr>
          <w:highlight w:val="yellow"/>
        </w:rPr>
        <w:t xml:space="preserve">[responsable]</w:t>
      </w:r>
      <w:r>
        <w:rPr/>
        <w:t xml:space="preserve"> en menos de </w:t>
      </w:r>
      <w:r>
        <w:rPr>
          <w:highlight w:val="yellow"/>
        </w:rPr>
        <w:t xml:space="preserve">[24]</w:t>
      </w:r>
      <w:r>
        <w:rPr/>
        <w:t xml:space="preserve"> horas por </w:t>
      </w:r>
      <w:r>
        <w:rPr>
          <w:highlight w:val="yellow"/>
        </w:rPr>
        <w:t xml:space="preserve">[canal]</w:t>
      </w:r>
      <w:r>
        <w:rPr/>
        <w:t xml:space="preserve">.</w:t>
      </w:r>
    </w:p>
    <w:p>
      <w:pPr>
        <w:ind w:left="360" w:hanging="280"/>
      </w:pPr>
      <w:r>
        <w:rPr/>
        <w:t xml:space="preserve">3. El responsable evalúa el caso y define las acciones.</w:t>
      </w:r>
    </w:p>
    <w:p>
      <w:pPr>
        <w:ind w:left="360" w:hanging="280"/>
      </w:pPr>
      <w:r>
        <w:rPr/>
        <w:t xml:space="preserve">4. Si hubo una violación de los códigos de seguridad con riesgo para los titulares, la empresa debe informarlo a la SIC (Ley 1581 de 2012, art. 17, lit. n).</w:t>
      </w:r>
    </w:p>
    <w:p>
      <w:pPr>
        <w:pStyle w:val="Heading2"/>
      </w:pPr>
      <w:r>
        <w:rPr/>
        <w:t xml:space="preserve">13. Incumplimiento</w:t>
      </w:r>
    </w:p>
    <w:p>
      <w:pPr/>
      <w:r>
        <w:rPr/>
        <w:t xml:space="preserve">El incumplimiento de esta política se maneja según el reglamento interno de trabajo y los contratos vigentes: </w:t>
      </w:r>
      <w:r>
        <w:rPr>
          <w:highlight w:val="yellow"/>
        </w:rPr>
        <w:t xml:space="preserve">[describir escala: llamado de atención, proceso disciplinario, terminación del contrato o acciones legales según gravedad]</w:t>
      </w:r>
      <w:r>
        <w:rPr/>
        <w:t xml:space="preserve">.</w:t>
      </w:r>
    </w:p>
    <w:p>
      <w:pPr>
        <w:pStyle w:val="Heading2"/>
      </w:pPr>
      <w:r>
        <w:rPr/>
        <w:t xml:space="preserve">14. Formación</w:t>
      </w:r>
    </w:p>
    <w:p>
      <w:pPr/>
      <w:r>
        <w:rPr/>
        <w:t xml:space="preserve">Toda persona que use IA en su trabajo recibe una inducción sobre esta política. La formación se refuerza al menos </w:t>
      </w:r>
      <w:r>
        <w:rPr>
          <w:highlight w:val="yellow"/>
        </w:rPr>
        <w:t xml:space="preserve">[una vez al año]</w:t>
      </w:r>
      <w:r>
        <w:rPr/>
        <w:t xml:space="preserve"> o cuando cambie una herramienta.</w:t>
      </w:r>
    </w:p>
    <w:p>
      <w:pPr>
        <w:pStyle w:val="Heading2"/>
      </w:pPr>
      <w:r>
        <w:rPr/>
        <w:t xml:space="preserve">15. Revisión</w:t>
      </w:r>
    </w:p>
    <w:p>
      <w:pPr/>
      <w:r>
        <w:rPr/>
        <w:t xml:space="preserve">Esta política se revisa cada </w:t>
      </w:r>
      <w:r>
        <w:rPr>
          <w:highlight w:val="yellow"/>
        </w:rPr>
        <w:t xml:space="preserve">[6]</w:t>
      </w:r>
      <w:r>
        <w:rPr/>
        <w:t xml:space="preserve"> meses o antes si cambia la ley, una herramienta o un proceso.</w:t>
      </w:r>
    </w:p>
    <w:p>
      <w:pPr>
        <w:pStyle w:val="Heading2"/>
      </w:pPr>
      <w:r>
        <w:rPr/>
        <w:t xml:space="preserve">Aceptación</w:t>
      </w:r>
    </w:p>
    <w:p>
      <w:pPr/>
      <w:r>
        <w:rPr/>
        <w:t xml:space="preserve">Declaro que leí y entiendo esta política y me comprometo a cumplirla.</w:t>
      </w:r>
    </w:p>
    <w:p>
      <w:pPr/>
      <w:r>
        <w:rPr/>
        <w:t xml:space="preserve">Nombre: </w:t>
      </w:r>
      <w:r>
        <w:rPr>
          <w:highlight w:val="yellow"/>
        </w:rPr>
        <w:t xml:space="preserve">[____]</w:t>
      </w:r>
      <w:r>
        <w:rPr/>
        <w:t xml:space="preserve"> · Cargo: </w:t>
      </w:r>
      <w:r>
        <w:rPr>
          <w:highlight w:val="yellow"/>
        </w:rPr>
        <w:t xml:space="preserve">[____]</w:t>
      </w:r>
      <w:r>
        <w:rPr/>
        <w:t xml:space="preserve"> · Firma: </w:t>
      </w:r>
      <w:r>
        <w:rPr>
          <w:highlight w:val="yellow"/>
        </w:rPr>
        <w:t xml:space="preserve">[____]</w:t>
      </w:r>
      <w:r>
        <w:rPr/>
        <w:t xml:space="preserve"> · Fecha: </w:t>
      </w:r>
      <w:r>
        <w:rPr>
          <w:highlight w:val="yellow"/>
        </w:rPr>
        <w:t xml:space="preserve">[____]</w:t>
      </w:r>
    </w:p>
    <w:p>
      <w:pPr/>
      <w:r>
        <w:rPr>
          <w:b/>
        </w:rPr>
        <w:t xml:space="preserve">Fuentes oficiales</w:t>
      </w:r>
    </w:p>
    <w:p>
      <w:pPr>
        <w:ind w:left="360" w:hanging="280"/>
      </w:pPr>
      <w:r>
        <w:rPr/>
        <w:t xml:space="preserve">•  Ley 1581 de 2012: https://www.funcionpublica.gov.co/eva/gestornormativo/norma.php?i=49981</w:t>
      </w:r>
    </w:p>
    <w:p>
      <w:pPr>
        <w:ind w:left="360" w:hanging="280"/>
      </w:pPr>
      <w:r>
        <w:rPr/>
        <w:t xml:space="preserve">•  Decreto 1377 de 2013: https://www.funcionpublica.gov.co/eva/gestornormativo/norma.php?i=53646</w:t>
      </w:r>
    </w:p>
    <w:p>
      <w:pPr>
        <w:ind w:left="360" w:hanging="280"/>
      </w:pPr>
      <w:r>
        <w:rPr/>
        <w:t xml:space="preserve">•  SIC, Circular Externa 002 de 2024: https://sedeelectronica.sic.gov.co/transparencia/normativa/circular-externa-2-de-2024-de-la-superintendencia-de-industria-y-comercio-lineamientos-sobre-el-tratamiento-de-datos</w:t>
      </w:r>
    </w:p>
    <w:p>
      <w:pPr>
        <w:ind w:left="360" w:hanging="280"/>
      </w:pPr>
      <w:r>
        <w:rPr/>
        <w:t xml:space="preserve">•  CONPES 4144 de 2025, Política Nacional de Inteligencia Artificial: https://colaboracion.dnp.gov.co/CDT/Conpes/Econ%C3%B3micos/4144.pdf</w:t>
      </w:r>
    </w:p>
    <w:p>
      <w:pPr>
        <w:pStyle w:val="Nota"/>
      </w:pPr>
      <w:r>
        <w:rPr/>
        <w:t xml:space="preserve">¿Su equipo necesita aprender a aplicarla? Think TIC también ofrece capacitación en Habeas Data: https://thinktic.co/capacitacion-habeas-data-empresas/</w:t>
      </w:r>
    </w:p>
    <w:p>
      <w:pPr/>
      <w:r>
        <w:rPr/>
        <w:t xml:space="preserve">Plantilla del Kit para llevar la IA a su empresa · Think TIC S.A.S. · versión 1.0 · https://thinktic.co/kit-capacitacion-ia-empresas/</w:t>
      </w:r>
    </w:p>
    <w:sectPr>
      <w:pgSz w:w="12240" w:h="15840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s-CO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color w:val="0000A8"/>
      <w:sz w:val="40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color w:val="0000A8"/>
      <w:sz w:val="32"/>
    </w:rPr>
  </w:style>
  <w:style w:type="paragraph" w:styleId="Heading2">
    <w:name w:val="heading 2"/>
    <w:basedOn w:val="Normal"/>
    <w:pPr>
      <w:keepNext/>
      <w:spacing w:before="220" w:after="80"/>
      <w:outlineLvl w:val="1"/>
    </w:pPr>
    <w:rPr>
      <w:b/>
      <w:color w:val="0D1233"/>
      <w:sz w:val="25"/>
    </w:rPr>
  </w:style>
  <w:style w:type="paragraph" w:styleId="Nota">
    <w:name w:val="Nota"/>
    <w:basedOn w:val="Normal"/>
    <w:pPr>
      <w:pBdr>
        <w:left w:val="single" w:sz="18" w:space="8" w:color="F82800"/>
      </w:pBdr>
      <w:ind w:left="200"/>
    </w:pPr>
    <w:rPr>
      <w:color w:val="4A5170"/>
    </w:rPr>
  </w:style>
  <w:style w:type="table" w:styleId="Tabla">
    <w:name w:val="Tabla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Política de uso de herramientas de inteligencia artificial (plantilla)</dc:title>
  <dc:creator>Think TIC S.A.S.</dc:creator>
  <dc:language>es-CO</dc:language>
  <dcterms:created xsi:type="dcterms:W3CDTF">2026-10-10T00:00:00Z</dcterms:created>
</cp:coreProperties>
</file>